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2F78" w14:textId="77777777" w:rsidR="00781EF6" w:rsidRPr="00D32BED" w:rsidRDefault="00781EF6" w:rsidP="0010219B">
      <w:pPr>
        <w:pStyle w:val="Heading1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7AD780" w14:textId="77777777" w:rsidR="00781EF6" w:rsidRPr="00D32BED" w:rsidRDefault="00781EF6" w:rsidP="0010219B">
      <w:pPr>
        <w:spacing w:after="120"/>
        <w:rPr>
          <w:lang w:val="tr-TR"/>
        </w:rPr>
      </w:pPr>
    </w:p>
    <w:p w14:paraId="70AA1939" w14:textId="77777777" w:rsidR="00781EF6" w:rsidRPr="00D32BED" w:rsidRDefault="00781EF6" w:rsidP="0010219B">
      <w:pPr>
        <w:spacing w:after="120" w:line="360" w:lineRule="auto"/>
        <w:jc w:val="center"/>
        <w:rPr>
          <w:b/>
          <w:lang w:val="tr-TR"/>
        </w:rPr>
      </w:pPr>
      <w:r w:rsidRPr="00D32BED">
        <w:rPr>
          <w:b/>
          <w:lang w:val="tr-TR"/>
        </w:rPr>
        <w:t>ODTÜ MAKİNA MÜHENDİSLİĞİ BÖLÜMÜ</w:t>
      </w:r>
    </w:p>
    <w:p w14:paraId="489683BC" w14:textId="77777777" w:rsidR="00781EF6" w:rsidRPr="00D32BED" w:rsidRDefault="00781EF6" w:rsidP="0010219B">
      <w:pPr>
        <w:spacing w:after="120" w:line="360" w:lineRule="auto"/>
        <w:jc w:val="center"/>
        <w:rPr>
          <w:b/>
          <w:lang w:val="tr-TR"/>
        </w:rPr>
      </w:pPr>
      <w:r w:rsidRPr="00D32BED">
        <w:rPr>
          <w:b/>
          <w:lang w:val="tr-TR"/>
        </w:rPr>
        <w:t>DOKTORA YETERLİK SINAVI</w:t>
      </w:r>
    </w:p>
    <w:p w14:paraId="5148B004" w14:textId="77777777" w:rsidR="00781EF6" w:rsidRPr="00D32BED" w:rsidRDefault="00781EF6" w:rsidP="0010219B">
      <w:pPr>
        <w:spacing w:after="120"/>
        <w:rPr>
          <w:lang w:val="tr-TR"/>
        </w:rPr>
      </w:pPr>
    </w:p>
    <w:p w14:paraId="6C9578CB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 xml:space="preserve">Doktora Yeterlik </w:t>
      </w:r>
      <w:r w:rsidR="00E36F5C" w:rsidRPr="00D32BED">
        <w:rPr>
          <w:lang w:val="tr-TR"/>
        </w:rPr>
        <w:t xml:space="preserve">Sınavı (a) </w:t>
      </w:r>
      <w:r w:rsidR="00E36F5C" w:rsidRPr="00D32BED">
        <w:rPr>
          <w:i/>
          <w:lang w:val="tr-TR"/>
        </w:rPr>
        <w:t>Yazılı Sınav</w:t>
      </w:r>
      <w:r w:rsidR="00E36F5C" w:rsidRPr="00D32BED">
        <w:rPr>
          <w:lang w:val="tr-TR"/>
        </w:rPr>
        <w:t>, (b</w:t>
      </w:r>
      <w:r w:rsidRPr="00D32BED">
        <w:rPr>
          <w:lang w:val="tr-TR"/>
        </w:rPr>
        <w:t xml:space="preserve">) </w:t>
      </w:r>
      <w:r w:rsidRPr="00D32BED">
        <w:rPr>
          <w:i/>
          <w:lang w:val="tr-TR"/>
        </w:rPr>
        <w:t>Sözlü</w:t>
      </w:r>
      <w:r w:rsidRPr="00D32BED">
        <w:rPr>
          <w:lang w:val="tr-TR"/>
        </w:rPr>
        <w:t xml:space="preserve"> </w:t>
      </w:r>
      <w:r w:rsidRPr="00D32BED">
        <w:rPr>
          <w:i/>
          <w:lang w:val="tr-TR"/>
        </w:rPr>
        <w:t>Sınav</w:t>
      </w:r>
      <w:r w:rsidRPr="00D32BED">
        <w:rPr>
          <w:lang w:val="tr-TR"/>
        </w:rPr>
        <w:t xml:space="preserve"> </w:t>
      </w:r>
      <w:r w:rsidR="00E36F5C" w:rsidRPr="00D32BED">
        <w:rPr>
          <w:lang w:val="tr-TR"/>
        </w:rPr>
        <w:t xml:space="preserve">ve (c) </w:t>
      </w:r>
      <w:r w:rsidR="00E36F5C" w:rsidRPr="00D32BED">
        <w:rPr>
          <w:i/>
          <w:lang w:val="tr-TR"/>
        </w:rPr>
        <w:t>Doktora</w:t>
      </w:r>
      <w:r w:rsidR="00E36F5C" w:rsidRPr="00D32BED">
        <w:rPr>
          <w:lang w:val="tr-TR"/>
        </w:rPr>
        <w:t xml:space="preserve"> </w:t>
      </w:r>
      <w:r w:rsidR="00E36F5C" w:rsidRPr="00D32BED">
        <w:rPr>
          <w:i/>
          <w:lang w:val="tr-TR"/>
        </w:rPr>
        <w:t>Yeterlik</w:t>
      </w:r>
      <w:r w:rsidR="00E36F5C" w:rsidRPr="00D32BED">
        <w:rPr>
          <w:lang w:val="tr-TR"/>
        </w:rPr>
        <w:t xml:space="preserve"> </w:t>
      </w:r>
      <w:r w:rsidR="00E36F5C" w:rsidRPr="00D32BED">
        <w:rPr>
          <w:i/>
          <w:lang w:val="tr-TR"/>
        </w:rPr>
        <w:t>Jürisi</w:t>
      </w:r>
      <w:r w:rsidR="00E36F5C" w:rsidRPr="00D32BED">
        <w:rPr>
          <w:lang w:val="tr-TR"/>
        </w:rPr>
        <w:t xml:space="preserve"> </w:t>
      </w:r>
      <w:r w:rsidR="00E36F5C" w:rsidRPr="00D32BED">
        <w:rPr>
          <w:i/>
          <w:lang w:val="tr-TR"/>
        </w:rPr>
        <w:t>Değerlendirmesi</w:t>
      </w:r>
      <w:r w:rsidR="00E36F5C" w:rsidRPr="00D32BED">
        <w:rPr>
          <w:lang w:val="tr-TR"/>
        </w:rPr>
        <w:t xml:space="preserve"> şeklinde üç</w:t>
      </w:r>
      <w:r w:rsidRPr="00D32BED">
        <w:rPr>
          <w:lang w:val="tr-TR"/>
        </w:rPr>
        <w:t xml:space="preserve"> aşamada uygulanıp, öğrencinin ilgili bilim dalındaki becerisi, bilgi düzeyi, sentezleme yeteneği, bilgiye erişimdeki başarı düzeyi ve bağımsız olarak araştırma yapma eğilimini belirleyecek sınavlardan</w:t>
      </w:r>
      <w:r w:rsidR="00E36F5C" w:rsidRPr="00D32BED">
        <w:rPr>
          <w:lang w:val="tr-TR"/>
        </w:rPr>
        <w:t>/değerlendirmeden</w:t>
      </w:r>
      <w:r w:rsidRPr="00D32BED">
        <w:rPr>
          <w:lang w:val="tr-TR"/>
        </w:rPr>
        <w:t xml:space="preserve"> oluşur. Sınavlar İngilizce dilinde yapılır. </w:t>
      </w:r>
    </w:p>
    <w:p w14:paraId="3D4800CD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 xml:space="preserve">Yazılı sınav </w:t>
      </w:r>
      <w:r w:rsidRPr="00D32BED">
        <w:rPr>
          <w:b/>
          <w:i/>
          <w:lang w:val="tr-TR"/>
        </w:rPr>
        <w:t>300</w:t>
      </w:r>
      <w:r w:rsidRPr="00D32BED">
        <w:rPr>
          <w:lang w:val="tr-TR"/>
        </w:rPr>
        <w:t xml:space="preserve"> puan ve sözlü sınav </w:t>
      </w:r>
      <w:r w:rsidRPr="00D32BED">
        <w:rPr>
          <w:b/>
          <w:i/>
          <w:lang w:val="tr-TR"/>
        </w:rPr>
        <w:t>100</w:t>
      </w:r>
      <w:r w:rsidRPr="00D32BED">
        <w:rPr>
          <w:lang w:val="tr-TR"/>
        </w:rPr>
        <w:t xml:space="preserve"> puan olmak üzere Doktora Yeterlik Sınavı </w:t>
      </w:r>
      <w:r w:rsidRPr="00D32BED">
        <w:rPr>
          <w:b/>
          <w:i/>
          <w:lang w:val="tr-TR"/>
        </w:rPr>
        <w:t>400</w:t>
      </w:r>
      <w:r w:rsidR="00A35CDA" w:rsidRPr="00D32BED">
        <w:rPr>
          <w:lang w:val="tr-TR"/>
        </w:rPr>
        <w:t xml:space="preserve"> </w:t>
      </w:r>
      <w:r w:rsidRPr="00D32BED">
        <w:rPr>
          <w:lang w:val="tr-TR"/>
        </w:rPr>
        <w:t xml:space="preserve">puan üzerinden yapılır.  </w:t>
      </w:r>
    </w:p>
    <w:p w14:paraId="0E539876" w14:textId="77777777" w:rsidR="00D30DDA" w:rsidRPr="00D32BED" w:rsidRDefault="00D30DDA" w:rsidP="0010219B">
      <w:pPr>
        <w:spacing w:after="120" w:line="360" w:lineRule="auto"/>
        <w:jc w:val="both"/>
        <w:rPr>
          <w:lang w:val="tr-TR"/>
        </w:rPr>
      </w:pPr>
    </w:p>
    <w:p w14:paraId="380C8E21" w14:textId="77777777" w:rsidR="00781EF6" w:rsidRPr="00D32BED" w:rsidRDefault="00781EF6" w:rsidP="0010219B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1066" w:hanging="357"/>
        <w:jc w:val="both"/>
        <w:rPr>
          <w:b/>
          <w:lang w:val="tr-TR"/>
        </w:rPr>
      </w:pPr>
      <w:r w:rsidRPr="00D32BED">
        <w:rPr>
          <w:b/>
          <w:lang w:val="tr-TR"/>
        </w:rPr>
        <w:t>Yazılı Sınav</w:t>
      </w:r>
    </w:p>
    <w:p w14:paraId="54B568B8" w14:textId="77777777" w:rsidR="00781EF6" w:rsidRPr="00D32BED" w:rsidRDefault="00781EF6" w:rsidP="0010219B">
      <w:pPr>
        <w:tabs>
          <w:tab w:val="left" w:pos="851"/>
        </w:tabs>
        <w:spacing w:after="120" w:line="360" w:lineRule="auto"/>
        <w:ind w:firstLine="709"/>
        <w:jc w:val="both"/>
        <w:rPr>
          <w:lang w:val="tr-TR"/>
        </w:rPr>
      </w:pPr>
      <w:r w:rsidRPr="00D32BED">
        <w:rPr>
          <w:lang w:val="tr-TR"/>
        </w:rPr>
        <w:t>Doktora Yeterlik Yazılı Sınavı iki bölümden oluşur. Bu sınavın her iki bölümü de 150’şer puan üzerinden değerlendirilir.</w:t>
      </w:r>
    </w:p>
    <w:p w14:paraId="4E7F47CA" w14:textId="77777777" w:rsidR="00781EF6" w:rsidRPr="00D32BED" w:rsidRDefault="00781EF6" w:rsidP="0010219B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lang w:val="tr-TR"/>
        </w:rPr>
      </w:pPr>
      <w:r w:rsidRPr="00D32BED">
        <w:rPr>
          <w:b/>
          <w:lang w:val="tr-TR"/>
        </w:rPr>
        <w:t>Yazılı Sınavın 1. Bölümü</w:t>
      </w:r>
    </w:p>
    <w:p w14:paraId="03F1EE46" w14:textId="374B91A8" w:rsidR="00781EF6" w:rsidRPr="00D32BED" w:rsidRDefault="00781EF6" w:rsidP="0010219B">
      <w:pPr>
        <w:tabs>
          <w:tab w:val="left" w:pos="709"/>
        </w:tabs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>Öğrenciler</w:t>
      </w:r>
      <w:r w:rsidR="00737103" w:rsidRPr="00D32BED">
        <w:rPr>
          <w:lang w:val="tr-TR"/>
        </w:rPr>
        <w:t>,</w:t>
      </w:r>
      <w:r w:rsidRPr="00D32BED">
        <w:rPr>
          <w:lang w:val="tr-TR"/>
        </w:rPr>
        <w:t xml:space="preserve"> biri zorunlu (Matematik) </w:t>
      </w:r>
      <w:r w:rsidR="006D6FF3">
        <w:rPr>
          <w:lang w:val="tr-TR"/>
        </w:rPr>
        <w:t>dörd</w:t>
      </w:r>
      <w:r w:rsidR="00D32BED" w:rsidRPr="00D32BED">
        <w:rPr>
          <w:lang w:val="tr-TR"/>
        </w:rPr>
        <w:t>ü</w:t>
      </w:r>
      <w:r w:rsidRPr="00D32BED">
        <w:rPr>
          <w:lang w:val="tr-TR"/>
        </w:rPr>
        <w:t xml:space="preserve"> temel makina mühendisliği alanları arasından seçmeli olmak üzere toplam </w:t>
      </w:r>
      <w:r w:rsidR="006D6FF3">
        <w:rPr>
          <w:lang w:val="tr-TR"/>
        </w:rPr>
        <w:t>beş</w:t>
      </w:r>
      <w:r w:rsidRPr="00D32BED">
        <w:rPr>
          <w:lang w:val="tr-TR"/>
        </w:rPr>
        <w:t xml:space="preserve"> alandan sınava girerler. Sınavda bu </w:t>
      </w:r>
      <w:r w:rsidR="006D6FF3">
        <w:rPr>
          <w:lang w:val="tr-TR"/>
        </w:rPr>
        <w:t>beş</w:t>
      </w:r>
      <w:r w:rsidRPr="00D32BED">
        <w:rPr>
          <w:lang w:val="tr-TR"/>
        </w:rPr>
        <w:t xml:space="preserve"> konunun her birinden sorulacak iki sorudan bir tanesini yanıtlarlar.</w:t>
      </w:r>
    </w:p>
    <w:p w14:paraId="3B10358F" w14:textId="77777777" w:rsidR="006205F6" w:rsidRDefault="00781EF6" w:rsidP="0010219B">
      <w:pPr>
        <w:tabs>
          <w:tab w:val="left" w:pos="709"/>
        </w:tabs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 xml:space="preserve">Matematik alanı "ME 210 </w:t>
      </w:r>
      <w:proofErr w:type="spellStart"/>
      <w:r w:rsidRPr="00D32BED">
        <w:rPr>
          <w:lang w:val="tr-TR"/>
        </w:rPr>
        <w:t>Applied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Mathematics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for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Mechanical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Engineers</w:t>
      </w:r>
      <w:proofErr w:type="spellEnd"/>
      <w:r w:rsidRPr="00D32BED">
        <w:rPr>
          <w:lang w:val="tr-TR"/>
        </w:rPr>
        <w:t xml:space="preserve">” ve “ME 521 </w:t>
      </w:r>
      <w:proofErr w:type="spellStart"/>
      <w:r w:rsidRPr="00D32BED">
        <w:rPr>
          <w:lang w:val="tr-TR"/>
        </w:rPr>
        <w:t>Analytical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Methods</w:t>
      </w:r>
      <w:proofErr w:type="spellEnd"/>
      <w:r w:rsidRPr="00D32BED">
        <w:rPr>
          <w:lang w:val="tr-TR"/>
        </w:rPr>
        <w:t xml:space="preserve"> in </w:t>
      </w:r>
      <w:proofErr w:type="spellStart"/>
      <w:r w:rsidRPr="00D32BED">
        <w:rPr>
          <w:lang w:val="tr-TR"/>
        </w:rPr>
        <w:t>Engineering</w:t>
      </w:r>
      <w:proofErr w:type="spellEnd"/>
      <w:r w:rsidRPr="00D32BED">
        <w:rPr>
          <w:lang w:val="tr-TR"/>
        </w:rPr>
        <w:t xml:space="preserve"> I” derslerini kapsar. Diğer 9 temel makina mühendisliği alanı ve içerikleri şöyledir: </w:t>
      </w:r>
    </w:p>
    <w:p w14:paraId="1441FE6C" w14:textId="084C25A2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Katı Cisimler Mekaniği</w:t>
      </w:r>
      <w:r>
        <w:rPr>
          <w:lang w:val="tr-TR"/>
        </w:rPr>
        <w:t xml:space="preserve">: </w:t>
      </w:r>
      <w:r w:rsidRPr="006205F6">
        <w:rPr>
          <w:lang w:val="tr-TR"/>
        </w:rPr>
        <w:t xml:space="preserve">“ME 206 </w:t>
      </w:r>
      <w:proofErr w:type="spellStart"/>
      <w:r w:rsidRPr="006205F6">
        <w:rPr>
          <w:lang w:val="tr-TR"/>
        </w:rPr>
        <w:t>Strength</w:t>
      </w:r>
      <w:proofErr w:type="spellEnd"/>
      <w:r w:rsidRPr="006205F6">
        <w:rPr>
          <w:lang w:val="tr-TR"/>
        </w:rPr>
        <w:t xml:space="preserve"> of </w:t>
      </w:r>
      <w:proofErr w:type="spellStart"/>
      <w:r w:rsidRPr="006205F6">
        <w:rPr>
          <w:lang w:val="tr-TR"/>
        </w:rPr>
        <w:t>Materials</w:t>
      </w:r>
      <w:proofErr w:type="spellEnd"/>
      <w:r w:rsidRPr="006205F6">
        <w:rPr>
          <w:lang w:val="tr-TR"/>
        </w:rPr>
        <w:t>”</w:t>
      </w:r>
      <w:r>
        <w:rPr>
          <w:lang w:val="tr-TR"/>
        </w:rPr>
        <w:t>;</w:t>
      </w:r>
    </w:p>
    <w:p w14:paraId="3BA04E00" w14:textId="6C4C67F4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Dinamik</w:t>
      </w:r>
      <w:r>
        <w:rPr>
          <w:lang w:val="tr-TR"/>
        </w:rPr>
        <w:t xml:space="preserve">: </w:t>
      </w:r>
      <w:r w:rsidRPr="006205F6">
        <w:rPr>
          <w:lang w:val="tr-TR"/>
        </w:rPr>
        <w:t>“ME 208 Dynamics”</w:t>
      </w:r>
      <w:r>
        <w:rPr>
          <w:lang w:val="tr-TR"/>
        </w:rPr>
        <w:t>;</w:t>
      </w:r>
    </w:p>
    <w:p w14:paraId="630CCEAB" w14:textId="1241FAAA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Kontrol Sistemleri</w:t>
      </w:r>
      <w:r>
        <w:rPr>
          <w:lang w:val="tr-TR"/>
        </w:rPr>
        <w:t xml:space="preserve">: </w:t>
      </w:r>
      <w:r w:rsidRPr="006205F6">
        <w:rPr>
          <w:lang w:val="tr-TR"/>
        </w:rPr>
        <w:t xml:space="preserve">“ME 304 Control </w:t>
      </w:r>
      <w:proofErr w:type="spellStart"/>
      <w:r w:rsidRPr="006205F6">
        <w:rPr>
          <w:lang w:val="tr-TR"/>
        </w:rPr>
        <w:t>Systems</w:t>
      </w:r>
      <w:proofErr w:type="spellEnd"/>
      <w:r w:rsidRPr="006205F6">
        <w:rPr>
          <w:lang w:val="tr-TR"/>
        </w:rPr>
        <w:t>”</w:t>
      </w:r>
      <w:r>
        <w:rPr>
          <w:lang w:val="tr-TR"/>
        </w:rPr>
        <w:t>;</w:t>
      </w:r>
    </w:p>
    <w:p w14:paraId="1D705613" w14:textId="35630290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Makina Teorisi</w:t>
      </w:r>
      <w:r>
        <w:rPr>
          <w:lang w:val="tr-TR"/>
        </w:rPr>
        <w:t xml:space="preserve">: </w:t>
      </w:r>
      <w:r w:rsidRPr="006205F6">
        <w:rPr>
          <w:lang w:val="tr-TR"/>
        </w:rPr>
        <w:t xml:space="preserve">“ME 301 </w:t>
      </w:r>
      <w:proofErr w:type="spellStart"/>
      <w:r w:rsidRPr="006205F6">
        <w:rPr>
          <w:lang w:val="tr-TR"/>
        </w:rPr>
        <w:t>Theory</w:t>
      </w:r>
      <w:proofErr w:type="spellEnd"/>
      <w:r w:rsidRPr="006205F6">
        <w:rPr>
          <w:lang w:val="tr-TR"/>
        </w:rPr>
        <w:t xml:space="preserve"> of </w:t>
      </w:r>
      <w:proofErr w:type="spellStart"/>
      <w:r w:rsidRPr="006205F6">
        <w:rPr>
          <w:lang w:val="tr-TR"/>
        </w:rPr>
        <w:t>Machines</w:t>
      </w:r>
      <w:proofErr w:type="spellEnd"/>
      <w:r w:rsidRPr="006205F6">
        <w:rPr>
          <w:lang w:val="tr-TR"/>
        </w:rPr>
        <w:t xml:space="preserve"> I” ve “ME 302 </w:t>
      </w:r>
      <w:proofErr w:type="spellStart"/>
      <w:r w:rsidRPr="006205F6">
        <w:rPr>
          <w:lang w:val="tr-TR"/>
        </w:rPr>
        <w:t>Theory</w:t>
      </w:r>
      <w:proofErr w:type="spellEnd"/>
      <w:r w:rsidRPr="006205F6">
        <w:rPr>
          <w:lang w:val="tr-TR"/>
        </w:rPr>
        <w:t xml:space="preserve"> of </w:t>
      </w:r>
      <w:proofErr w:type="spellStart"/>
      <w:r w:rsidRPr="006205F6">
        <w:rPr>
          <w:lang w:val="tr-TR"/>
        </w:rPr>
        <w:t>Machines</w:t>
      </w:r>
      <w:proofErr w:type="spellEnd"/>
      <w:r w:rsidRPr="006205F6">
        <w:rPr>
          <w:lang w:val="tr-TR"/>
        </w:rPr>
        <w:t xml:space="preserve"> II” </w:t>
      </w:r>
    </w:p>
    <w:p w14:paraId="79D6673C" w14:textId="36FDCDE0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Makina Elemanları</w:t>
      </w:r>
      <w:r>
        <w:rPr>
          <w:lang w:val="tr-TR"/>
        </w:rPr>
        <w:t xml:space="preserve">: </w:t>
      </w:r>
      <w:r w:rsidRPr="006205F6">
        <w:rPr>
          <w:lang w:val="tr-TR"/>
        </w:rPr>
        <w:t xml:space="preserve">“ME 307 Machine </w:t>
      </w:r>
      <w:proofErr w:type="spellStart"/>
      <w:r w:rsidRPr="006205F6">
        <w:rPr>
          <w:lang w:val="tr-TR"/>
        </w:rPr>
        <w:t>Elements</w:t>
      </w:r>
      <w:proofErr w:type="spellEnd"/>
      <w:r w:rsidRPr="006205F6">
        <w:rPr>
          <w:lang w:val="tr-TR"/>
        </w:rPr>
        <w:t xml:space="preserve"> I” ve “ME 308 Machine </w:t>
      </w:r>
      <w:proofErr w:type="spellStart"/>
      <w:r w:rsidRPr="006205F6">
        <w:rPr>
          <w:lang w:val="tr-TR"/>
        </w:rPr>
        <w:t>Elements</w:t>
      </w:r>
      <w:proofErr w:type="spellEnd"/>
      <w:r w:rsidRPr="006205F6">
        <w:rPr>
          <w:lang w:val="tr-TR"/>
        </w:rPr>
        <w:t xml:space="preserve"> II”</w:t>
      </w:r>
    </w:p>
    <w:p w14:paraId="4E4C5018" w14:textId="39900C35" w:rsidR="006205F6" w:rsidRPr="006205F6" w:rsidRDefault="006205F6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Üretim Mühendisliği</w:t>
      </w:r>
      <w:r>
        <w:rPr>
          <w:lang w:val="tr-TR"/>
        </w:rPr>
        <w:t xml:space="preserve">: </w:t>
      </w:r>
      <w:r w:rsidRPr="006205F6">
        <w:rPr>
          <w:lang w:val="tr-TR"/>
        </w:rPr>
        <w:t xml:space="preserve">“ME 303 </w:t>
      </w:r>
      <w:proofErr w:type="spellStart"/>
      <w:r w:rsidRPr="006205F6">
        <w:rPr>
          <w:lang w:val="tr-TR"/>
        </w:rPr>
        <w:t>Manufacturing</w:t>
      </w:r>
      <w:proofErr w:type="spellEnd"/>
      <w:r w:rsidRPr="006205F6">
        <w:rPr>
          <w:lang w:val="tr-TR"/>
        </w:rPr>
        <w:t xml:space="preserve"> </w:t>
      </w:r>
      <w:proofErr w:type="spellStart"/>
      <w:r w:rsidRPr="006205F6">
        <w:rPr>
          <w:lang w:val="tr-TR"/>
        </w:rPr>
        <w:t>Engineering</w:t>
      </w:r>
      <w:proofErr w:type="spellEnd"/>
      <w:r w:rsidRPr="006205F6">
        <w:rPr>
          <w:lang w:val="tr-TR"/>
        </w:rPr>
        <w:t>”</w:t>
      </w:r>
    </w:p>
    <w:p w14:paraId="7EA64EBB" w14:textId="3085C0E3" w:rsidR="006205F6" w:rsidRPr="006205F6" w:rsidRDefault="00A35CDA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lastRenderedPageBreak/>
        <w:t>T</w:t>
      </w:r>
      <w:r w:rsidR="00781EF6" w:rsidRPr="006205F6">
        <w:rPr>
          <w:lang w:val="tr-TR"/>
        </w:rPr>
        <w:t>ermodinamik</w:t>
      </w:r>
      <w:r w:rsidR="006205F6">
        <w:rPr>
          <w:lang w:val="tr-TR"/>
        </w:rPr>
        <w:t xml:space="preserve">: </w:t>
      </w:r>
      <w:r w:rsidR="00781EF6" w:rsidRPr="006205F6">
        <w:rPr>
          <w:lang w:val="tr-TR"/>
        </w:rPr>
        <w:t xml:space="preserve">“ME 203 </w:t>
      </w:r>
      <w:proofErr w:type="spellStart"/>
      <w:r w:rsidR="00781EF6" w:rsidRPr="006205F6">
        <w:rPr>
          <w:lang w:val="tr-TR"/>
        </w:rPr>
        <w:t>Thermodynamics</w:t>
      </w:r>
      <w:proofErr w:type="spellEnd"/>
      <w:r w:rsidR="00781EF6" w:rsidRPr="006205F6">
        <w:rPr>
          <w:lang w:val="tr-TR"/>
        </w:rPr>
        <w:t xml:space="preserve"> I” v</w:t>
      </w:r>
      <w:r w:rsidRPr="006205F6">
        <w:rPr>
          <w:lang w:val="tr-TR"/>
        </w:rPr>
        <w:t xml:space="preserve">e “ME 204 </w:t>
      </w:r>
      <w:proofErr w:type="spellStart"/>
      <w:r w:rsidRPr="006205F6">
        <w:rPr>
          <w:lang w:val="tr-TR"/>
        </w:rPr>
        <w:t>Thermodynamics</w:t>
      </w:r>
      <w:proofErr w:type="spellEnd"/>
      <w:r w:rsidRPr="006205F6">
        <w:rPr>
          <w:lang w:val="tr-TR"/>
        </w:rPr>
        <w:t xml:space="preserve"> II”</w:t>
      </w:r>
    </w:p>
    <w:p w14:paraId="7ABE867B" w14:textId="3FAF6FC1" w:rsidR="006205F6" w:rsidRPr="006205F6" w:rsidRDefault="00A35CDA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lang w:val="tr-TR"/>
        </w:rPr>
      </w:pPr>
      <w:r w:rsidRPr="006205F6">
        <w:rPr>
          <w:lang w:val="tr-TR"/>
        </w:rPr>
        <w:t>Akışkanlar M</w:t>
      </w:r>
      <w:r w:rsidR="00781EF6" w:rsidRPr="006205F6">
        <w:rPr>
          <w:lang w:val="tr-TR"/>
        </w:rPr>
        <w:t>ekaniği</w:t>
      </w:r>
      <w:r w:rsidR="006205F6">
        <w:rPr>
          <w:lang w:val="tr-TR"/>
        </w:rPr>
        <w:t xml:space="preserve">: </w:t>
      </w:r>
      <w:r w:rsidR="00781EF6" w:rsidRPr="006205F6">
        <w:rPr>
          <w:lang w:val="tr-TR"/>
        </w:rPr>
        <w:t xml:space="preserve">“ME 305 </w:t>
      </w:r>
      <w:proofErr w:type="spellStart"/>
      <w:r w:rsidR="00781EF6" w:rsidRPr="006205F6">
        <w:rPr>
          <w:lang w:val="tr-TR"/>
        </w:rPr>
        <w:t>Fluid</w:t>
      </w:r>
      <w:proofErr w:type="spellEnd"/>
      <w:r w:rsidR="00781EF6" w:rsidRPr="006205F6">
        <w:rPr>
          <w:lang w:val="tr-TR"/>
        </w:rPr>
        <w:t xml:space="preserve"> </w:t>
      </w:r>
      <w:proofErr w:type="spellStart"/>
      <w:r w:rsidR="00781EF6" w:rsidRPr="006205F6">
        <w:rPr>
          <w:lang w:val="tr-TR"/>
        </w:rPr>
        <w:t>Mechanics</w:t>
      </w:r>
      <w:proofErr w:type="spellEnd"/>
      <w:r w:rsidR="00781EF6" w:rsidRPr="006205F6">
        <w:rPr>
          <w:lang w:val="tr-TR"/>
        </w:rPr>
        <w:t xml:space="preserve"> I” ve</w:t>
      </w:r>
      <w:r w:rsidRPr="006205F6">
        <w:rPr>
          <w:lang w:val="tr-TR"/>
        </w:rPr>
        <w:t xml:space="preserve"> “ME 306 </w:t>
      </w:r>
      <w:proofErr w:type="spellStart"/>
      <w:r w:rsidRPr="006205F6">
        <w:rPr>
          <w:lang w:val="tr-TR"/>
        </w:rPr>
        <w:t>Fluid</w:t>
      </w:r>
      <w:proofErr w:type="spellEnd"/>
      <w:r w:rsidRPr="006205F6">
        <w:rPr>
          <w:lang w:val="tr-TR"/>
        </w:rPr>
        <w:t xml:space="preserve"> </w:t>
      </w:r>
      <w:proofErr w:type="spellStart"/>
      <w:r w:rsidRPr="006205F6">
        <w:rPr>
          <w:lang w:val="tr-TR"/>
        </w:rPr>
        <w:t>Mechanics</w:t>
      </w:r>
      <w:proofErr w:type="spellEnd"/>
      <w:r w:rsidRPr="006205F6">
        <w:rPr>
          <w:lang w:val="tr-TR"/>
        </w:rPr>
        <w:t xml:space="preserve"> II”</w:t>
      </w:r>
    </w:p>
    <w:p w14:paraId="734E9764" w14:textId="65928D5E" w:rsidR="00781EF6" w:rsidRPr="006205F6" w:rsidRDefault="00A35CDA" w:rsidP="006205F6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rPr>
          <w:iCs/>
          <w:lang w:val="tr-TR"/>
        </w:rPr>
      </w:pPr>
      <w:r w:rsidRPr="006205F6">
        <w:rPr>
          <w:lang w:val="tr-TR"/>
        </w:rPr>
        <w:t>Isı T</w:t>
      </w:r>
      <w:r w:rsidR="00781EF6" w:rsidRPr="006205F6">
        <w:rPr>
          <w:lang w:val="tr-TR"/>
        </w:rPr>
        <w:t>ransferi</w:t>
      </w:r>
      <w:r w:rsidR="006205F6">
        <w:rPr>
          <w:lang w:val="tr-TR"/>
        </w:rPr>
        <w:t xml:space="preserve">: </w:t>
      </w:r>
      <w:r w:rsidR="00781EF6" w:rsidRPr="006205F6">
        <w:rPr>
          <w:lang w:val="tr-TR"/>
        </w:rPr>
        <w:t xml:space="preserve">“ME 311 </w:t>
      </w:r>
      <w:proofErr w:type="spellStart"/>
      <w:r w:rsidR="00781EF6" w:rsidRPr="006205F6">
        <w:rPr>
          <w:lang w:val="tr-TR"/>
        </w:rPr>
        <w:t>Heat</w:t>
      </w:r>
      <w:proofErr w:type="spellEnd"/>
      <w:r w:rsidR="00781EF6" w:rsidRPr="006205F6">
        <w:rPr>
          <w:lang w:val="tr-TR"/>
        </w:rPr>
        <w:t xml:space="preserve"> Transfer” ve “ME 312 </w:t>
      </w:r>
      <w:proofErr w:type="spellStart"/>
      <w:r w:rsidR="00781EF6" w:rsidRPr="006205F6">
        <w:rPr>
          <w:lang w:val="tr-TR"/>
        </w:rPr>
        <w:t>Thermal</w:t>
      </w:r>
      <w:proofErr w:type="spellEnd"/>
      <w:r w:rsidR="00781EF6" w:rsidRPr="006205F6">
        <w:rPr>
          <w:lang w:val="tr-TR"/>
        </w:rPr>
        <w:t xml:space="preserve"> </w:t>
      </w:r>
      <w:proofErr w:type="spellStart"/>
      <w:r w:rsidR="00781EF6" w:rsidRPr="006205F6">
        <w:rPr>
          <w:lang w:val="tr-TR"/>
        </w:rPr>
        <w:t>Engineering</w:t>
      </w:r>
      <w:proofErr w:type="spellEnd"/>
      <w:r w:rsidR="00781EF6" w:rsidRPr="006205F6">
        <w:rPr>
          <w:lang w:val="tr-TR"/>
        </w:rPr>
        <w:t>”</w:t>
      </w:r>
      <w:r w:rsidR="00781EF6" w:rsidRPr="006205F6">
        <w:rPr>
          <w:iCs/>
          <w:lang w:val="tr-TR"/>
        </w:rPr>
        <w:t xml:space="preserve"> </w:t>
      </w:r>
    </w:p>
    <w:p w14:paraId="2912DEBA" w14:textId="3FDA578E" w:rsidR="00781EF6" w:rsidRPr="00D32BED" w:rsidRDefault="00781EF6" w:rsidP="0010219B">
      <w:pPr>
        <w:tabs>
          <w:tab w:val="left" w:pos="709"/>
        </w:tabs>
        <w:spacing w:after="120" w:line="360" w:lineRule="auto"/>
        <w:jc w:val="both"/>
        <w:rPr>
          <w:iCs/>
          <w:lang w:val="tr-TR"/>
        </w:rPr>
      </w:pPr>
      <w:r w:rsidRPr="00D32BED">
        <w:rPr>
          <w:iCs/>
          <w:lang w:val="tr-TR"/>
        </w:rPr>
        <w:tab/>
      </w:r>
      <w:bookmarkStart w:id="0" w:name="_GoBack"/>
      <w:bookmarkEnd w:id="0"/>
      <w:r w:rsidRPr="00D32BED">
        <w:rPr>
          <w:iCs/>
          <w:lang w:val="tr-TR"/>
        </w:rPr>
        <w:t xml:space="preserve">Tarihi Doktora Yeterlik Komitesi tarafından belirlenerek ilan edilen bu sınav </w:t>
      </w:r>
      <w:r w:rsidRPr="00D32BED">
        <w:rPr>
          <w:b/>
          <w:i/>
          <w:iCs/>
          <w:lang w:val="tr-TR"/>
        </w:rPr>
        <w:t>yazılı ve kapalı kitap</w:t>
      </w:r>
      <w:r w:rsidRPr="00D32BED">
        <w:rPr>
          <w:iCs/>
          <w:lang w:val="tr-TR"/>
        </w:rPr>
        <w:t xml:space="preserve"> şeklinde Doktora Yeterlik Sınavı Jürisi tarafından y</w:t>
      </w:r>
      <w:r w:rsidR="00A35CDA" w:rsidRPr="00D32BED">
        <w:rPr>
          <w:iCs/>
          <w:lang w:val="tr-TR"/>
        </w:rPr>
        <w:t>ürütülür</w:t>
      </w:r>
      <w:r w:rsidRPr="00D32BED">
        <w:rPr>
          <w:iCs/>
          <w:lang w:val="tr-TR"/>
        </w:rPr>
        <w:t>.</w:t>
      </w:r>
    </w:p>
    <w:p w14:paraId="53F741BD" w14:textId="77777777" w:rsidR="00781EF6" w:rsidRPr="00D32BED" w:rsidRDefault="00781EF6" w:rsidP="0010219B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lang w:val="tr-TR"/>
        </w:rPr>
      </w:pPr>
      <w:r w:rsidRPr="00D32BED">
        <w:rPr>
          <w:b/>
          <w:lang w:val="tr-TR"/>
        </w:rPr>
        <w:t xml:space="preserve">Yazılı Sınavın 2. Bölümü </w:t>
      </w:r>
    </w:p>
    <w:p w14:paraId="4FA1C407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 xml:space="preserve">Tarihi Doktora Yeterlik Komitesi tarafından belirlenecek bu sınav, öğrencinin ilgili bilim alanındaki bilgi birikimini, yeteneğini, becerisini ve araştırmaya olan eğilimini belirlemek üzere Doktora Yeterlik Sınav Jürisi tarafından </w:t>
      </w:r>
      <w:r w:rsidR="00A35CDA" w:rsidRPr="00D32BED">
        <w:rPr>
          <w:lang w:val="tr-TR"/>
        </w:rPr>
        <w:t>yürütülür</w:t>
      </w:r>
      <w:r w:rsidRPr="00D32BED">
        <w:rPr>
          <w:lang w:val="tr-TR"/>
        </w:rPr>
        <w:t xml:space="preserve">. </w:t>
      </w:r>
    </w:p>
    <w:p w14:paraId="0BEA2E9E" w14:textId="77777777" w:rsidR="00781EF6" w:rsidRPr="00D32BED" w:rsidRDefault="00781EF6" w:rsidP="0010219B">
      <w:pPr>
        <w:spacing w:after="120" w:line="360" w:lineRule="auto"/>
        <w:jc w:val="both"/>
        <w:rPr>
          <w:iCs/>
          <w:lang w:val="tr-TR"/>
        </w:rPr>
      </w:pPr>
      <w:r w:rsidRPr="00D32BED">
        <w:rPr>
          <w:lang w:val="tr-TR"/>
        </w:rPr>
        <w:tab/>
        <w:t xml:space="preserve">Bu sınav öğrencinin lisansüstü eğitimi sırasında almış olduğu matematik (“ME 540 </w:t>
      </w:r>
      <w:proofErr w:type="spellStart"/>
      <w:r w:rsidRPr="00D32BED">
        <w:rPr>
          <w:lang w:val="tr-TR"/>
        </w:rPr>
        <w:t>Analytical</w:t>
      </w:r>
      <w:proofErr w:type="spellEnd"/>
      <w:r w:rsidRPr="00D32BED">
        <w:rPr>
          <w:lang w:val="tr-TR"/>
        </w:rPr>
        <w:t xml:space="preserve"> </w:t>
      </w:r>
      <w:proofErr w:type="spellStart"/>
      <w:r w:rsidRPr="00D32BED">
        <w:rPr>
          <w:lang w:val="tr-TR"/>
        </w:rPr>
        <w:t>Methods</w:t>
      </w:r>
      <w:proofErr w:type="spellEnd"/>
      <w:r w:rsidRPr="00D32BED">
        <w:rPr>
          <w:lang w:val="tr-TR"/>
        </w:rPr>
        <w:t xml:space="preserve"> in </w:t>
      </w:r>
      <w:proofErr w:type="spellStart"/>
      <w:r w:rsidRPr="00D32BED">
        <w:rPr>
          <w:lang w:val="tr-TR"/>
        </w:rPr>
        <w:t>Engineering</w:t>
      </w:r>
      <w:proofErr w:type="spellEnd"/>
      <w:r w:rsidRPr="00D32BED">
        <w:rPr>
          <w:lang w:val="tr-TR"/>
        </w:rPr>
        <w:t xml:space="preserve"> II”) ve </w:t>
      </w:r>
      <w:r w:rsidRPr="00D32BED">
        <w:rPr>
          <w:iCs/>
          <w:lang w:val="tr-TR"/>
        </w:rPr>
        <w:t xml:space="preserve">Bölümümüzün lisansüstü öğrencilerinin almak zorunda olduğu derslerin bulunduğu ders havuzundaki derslerden </w:t>
      </w:r>
      <w:r w:rsidRPr="00D32BED">
        <w:rPr>
          <w:b/>
          <w:iCs/>
          <w:lang w:val="tr-TR"/>
        </w:rPr>
        <w:t>Doktora çalışma konusu ile ilgili dersleri</w:t>
      </w:r>
      <w:r w:rsidRPr="00D32BED">
        <w:rPr>
          <w:iCs/>
          <w:lang w:val="tr-TR"/>
        </w:rPr>
        <w:t xml:space="preserve"> (</w:t>
      </w:r>
      <w:r w:rsidRPr="00D32BED">
        <w:rPr>
          <w:i/>
          <w:iCs/>
          <w:lang w:val="tr-TR"/>
        </w:rPr>
        <w:t>bu dersleri lisansüstü eğitimleri sırasında almamış olsalar dahi</w:t>
      </w:r>
      <w:r w:rsidR="00737103" w:rsidRPr="00D32BED">
        <w:rPr>
          <w:iCs/>
          <w:lang w:val="tr-TR"/>
        </w:rPr>
        <w:t>)</w:t>
      </w:r>
      <w:r w:rsidRPr="00D32BED">
        <w:rPr>
          <w:iCs/>
          <w:lang w:val="tr-TR"/>
        </w:rPr>
        <w:t xml:space="preserve"> içerir. </w:t>
      </w:r>
    </w:p>
    <w:p w14:paraId="320B105B" w14:textId="77777777" w:rsidR="00781EF6" w:rsidRPr="00D32BED" w:rsidRDefault="00781EF6" w:rsidP="0010219B">
      <w:pPr>
        <w:spacing w:after="120" w:line="360" w:lineRule="auto"/>
        <w:jc w:val="both"/>
        <w:rPr>
          <w:iCs/>
          <w:lang w:val="tr-TR"/>
        </w:rPr>
      </w:pPr>
      <w:r w:rsidRPr="00D32BED">
        <w:rPr>
          <w:iCs/>
          <w:lang w:val="tr-TR"/>
        </w:rPr>
        <w:tab/>
      </w:r>
      <w:r w:rsidR="00737103" w:rsidRPr="00D32BED">
        <w:rPr>
          <w:iCs/>
          <w:lang w:val="tr-TR"/>
        </w:rPr>
        <w:t>Öğrenciler,</w:t>
      </w:r>
      <w:r w:rsidRPr="00D32BED">
        <w:rPr>
          <w:iCs/>
          <w:lang w:val="tr-TR"/>
        </w:rPr>
        <w:t xml:space="preserve"> biri matematik ve üçü de çalışma alanlarındaki derslerden olmak üzere toplam dört dersin her birinden sorulacak iki sorudan bir tanesini yanıtlarlar. </w:t>
      </w:r>
    </w:p>
    <w:p w14:paraId="463A0237" w14:textId="58556C36" w:rsidR="00F84625" w:rsidRDefault="00781EF6" w:rsidP="0010219B">
      <w:pPr>
        <w:spacing w:after="120" w:line="360" w:lineRule="auto"/>
        <w:jc w:val="both"/>
        <w:rPr>
          <w:iCs/>
          <w:lang w:val="tr-TR"/>
        </w:rPr>
      </w:pPr>
      <w:r w:rsidRPr="00D32BED">
        <w:rPr>
          <w:iCs/>
          <w:lang w:val="tr-TR"/>
        </w:rPr>
        <w:tab/>
        <w:t xml:space="preserve">Lisansüstü havuz derslerinin alanları </w:t>
      </w:r>
      <w:r w:rsidR="00F47A12">
        <w:rPr>
          <w:iCs/>
          <w:lang w:val="tr-TR"/>
        </w:rPr>
        <w:t>şu şekildedir:</w:t>
      </w:r>
    </w:p>
    <w:p w14:paraId="32BE0A87" w14:textId="4804FCD7" w:rsidR="004676D3" w:rsidRDefault="00F84625" w:rsidP="00F47A12">
      <w:pPr>
        <w:spacing w:after="120" w:line="360" w:lineRule="auto"/>
        <w:ind w:left="709"/>
        <w:jc w:val="both"/>
        <w:rPr>
          <w:iCs/>
          <w:lang w:val="tr-TR"/>
        </w:rPr>
      </w:pPr>
      <w:r w:rsidRPr="00D32BED">
        <w:rPr>
          <w:iCs/>
          <w:lang w:val="tr-TR"/>
        </w:rPr>
        <w:t>Mekanik</w:t>
      </w:r>
      <w:r w:rsidR="00F47A12">
        <w:rPr>
          <w:iCs/>
          <w:lang w:val="tr-TR"/>
        </w:rPr>
        <w:t xml:space="preserve">: </w:t>
      </w:r>
      <w:r w:rsidRPr="00D32BED">
        <w:rPr>
          <w:iCs/>
          <w:lang w:val="tr-TR"/>
        </w:rPr>
        <w:t xml:space="preserve">“ME 502 Advanced Dynamics”, “ME 511 Modern Control”, “ME 526 </w:t>
      </w:r>
      <w:proofErr w:type="spellStart"/>
      <w:r w:rsidRPr="00D32BED">
        <w:rPr>
          <w:iCs/>
          <w:lang w:val="tr-TR"/>
        </w:rPr>
        <w:t>Vibration</w:t>
      </w:r>
      <w:proofErr w:type="spellEnd"/>
      <w:r w:rsidRPr="00D32BED">
        <w:rPr>
          <w:iCs/>
          <w:lang w:val="tr-TR"/>
        </w:rPr>
        <w:t xml:space="preserve"> of </w:t>
      </w:r>
      <w:proofErr w:type="spellStart"/>
      <w:r w:rsidRPr="00D32BED">
        <w:rPr>
          <w:iCs/>
          <w:lang w:val="tr-TR"/>
        </w:rPr>
        <w:t>Continuous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Systems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with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Computational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Methods</w:t>
      </w:r>
      <w:proofErr w:type="spellEnd"/>
      <w:r w:rsidRPr="00D32BED">
        <w:rPr>
          <w:iCs/>
          <w:lang w:val="tr-TR"/>
        </w:rPr>
        <w:t xml:space="preserve">”, “ME 541 </w:t>
      </w:r>
      <w:proofErr w:type="spellStart"/>
      <w:r w:rsidRPr="00D32BED">
        <w:rPr>
          <w:iCs/>
          <w:lang w:val="tr-TR"/>
        </w:rPr>
        <w:t>Plastcity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and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Computer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Aided</w:t>
      </w:r>
      <w:proofErr w:type="spellEnd"/>
      <w:r w:rsidRPr="00D32BED">
        <w:rPr>
          <w:iCs/>
          <w:lang w:val="tr-TR"/>
        </w:rPr>
        <w:t xml:space="preserve"> Metal </w:t>
      </w:r>
      <w:proofErr w:type="spellStart"/>
      <w:r w:rsidRPr="00D32BED">
        <w:rPr>
          <w:iCs/>
          <w:lang w:val="tr-TR"/>
        </w:rPr>
        <w:t>Forming</w:t>
      </w:r>
      <w:proofErr w:type="spellEnd"/>
      <w:r w:rsidRPr="00D32BED">
        <w:rPr>
          <w:iCs/>
          <w:lang w:val="tr-TR"/>
        </w:rPr>
        <w:t xml:space="preserve">”, “ME 543 </w:t>
      </w:r>
      <w:proofErr w:type="spellStart"/>
      <w:r w:rsidRPr="00D32BED">
        <w:rPr>
          <w:iCs/>
          <w:lang w:val="tr-TR"/>
        </w:rPr>
        <w:t>Theory</w:t>
      </w:r>
      <w:proofErr w:type="spellEnd"/>
      <w:r w:rsidRPr="00D32BED">
        <w:rPr>
          <w:iCs/>
          <w:lang w:val="tr-TR"/>
        </w:rPr>
        <w:t xml:space="preserve"> of </w:t>
      </w:r>
      <w:proofErr w:type="spellStart"/>
      <w:r w:rsidRPr="00D32BED">
        <w:rPr>
          <w:iCs/>
          <w:lang w:val="tr-TR"/>
        </w:rPr>
        <w:t>Elasticity</w:t>
      </w:r>
      <w:proofErr w:type="spellEnd"/>
      <w:r w:rsidRPr="00D32BED">
        <w:rPr>
          <w:iCs/>
          <w:lang w:val="tr-TR"/>
        </w:rPr>
        <w:t xml:space="preserve">” ve “ME 547 </w:t>
      </w:r>
      <w:proofErr w:type="spellStart"/>
      <w:r w:rsidRPr="00D32BED">
        <w:rPr>
          <w:iCs/>
          <w:lang w:val="tr-TR"/>
        </w:rPr>
        <w:t>Introduction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to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Continuum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Mechanics</w:t>
      </w:r>
      <w:proofErr w:type="spellEnd"/>
      <w:r w:rsidRPr="00D32BED">
        <w:rPr>
          <w:iCs/>
          <w:lang w:val="tr-TR"/>
        </w:rPr>
        <w:t xml:space="preserve">” </w:t>
      </w:r>
    </w:p>
    <w:p w14:paraId="41CC7185" w14:textId="0696AC78" w:rsidR="002C29CC" w:rsidRDefault="00781EF6" w:rsidP="00F47A12">
      <w:pPr>
        <w:spacing w:after="120" w:line="360" w:lineRule="auto"/>
        <w:ind w:left="709"/>
        <w:jc w:val="both"/>
        <w:rPr>
          <w:iCs/>
          <w:lang w:val="tr-TR"/>
        </w:rPr>
      </w:pPr>
      <w:proofErr w:type="spellStart"/>
      <w:r w:rsidRPr="00D32BED">
        <w:rPr>
          <w:iCs/>
          <w:lang w:val="tr-TR"/>
        </w:rPr>
        <w:t>Termoakışkanlar</w:t>
      </w:r>
      <w:proofErr w:type="spellEnd"/>
      <w:r w:rsidR="00F47A12">
        <w:rPr>
          <w:iCs/>
          <w:lang w:val="tr-TR"/>
        </w:rPr>
        <w:t>:</w:t>
      </w:r>
      <w:r w:rsidRPr="00D32BED">
        <w:rPr>
          <w:iCs/>
          <w:lang w:val="tr-TR"/>
        </w:rPr>
        <w:t xml:space="preserve"> “ME 503 Advanced </w:t>
      </w:r>
      <w:proofErr w:type="spellStart"/>
      <w:r w:rsidRPr="00D32BED">
        <w:rPr>
          <w:iCs/>
          <w:lang w:val="tr-TR"/>
        </w:rPr>
        <w:t>Gas</w:t>
      </w:r>
      <w:proofErr w:type="spellEnd"/>
      <w:r w:rsidRPr="00D32BED">
        <w:rPr>
          <w:iCs/>
          <w:lang w:val="tr-TR"/>
        </w:rPr>
        <w:t xml:space="preserve"> Dynamics”, </w:t>
      </w:r>
      <w:r w:rsidR="00737103" w:rsidRPr="00D32BED">
        <w:rPr>
          <w:iCs/>
          <w:lang w:val="tr-TR"/>
        </w:rPr>
        <w:t>“</w:t>
      </w:r>
      <w:r w:rsidRPr="00D32BED">
        <w:rPr>
          <w:iCs/>
          <w:lang w:val="tr-TR"/>
        </w:rPr>
        <w:t xml:space="preserve">ME 504 Advanced </w:t>
      </w:r>
      <w:proofErr w:type="spellStart"/>
      <w:r w:rsidRPr="00D32BED">
        <w:rPr>
          <w:iCs/>
          <w:lang w:val="tr-TR"/>
        </w:rPr>
        <w:t>Heat</w:t>
      </w:r>
      <w:proofErr w:type="spellEnd"/>
      <w:r w:rsidRPr="00D32BED">
        <w:rPr>
          <w:iCs/>
          <w:lang w:val="tr-TR"/>
        </w:rPr>
        <w:t xml:space="preserve"> Transfer I”, “ME 505 Advanced </w:t>
      </w:r>
      <w:proofErr w:type="spellStart"/>
      <w:r w:rsidRPr="00D32BED">
        <w:rPr>
          <w:iCs/>
          <w:lang w:val="tr-TR"/>
        </w:rPr>
        <w:t>Heat</w:t>
      </w:r>
      <w:proofErr w:type="spellEnd"/>
      <w:r w:rsidRPr="00D32BED">
        <w:rPr>
          <w:iCs/>
          <w:lang w:val="tr-TR"/>
        </w:rPr>
        <w:t xml:space="preserve"> Transfer II</w:t>
      </w:r>
      <w:r w:rsidR="00737103" w:rsidRPr="00D32BED">
        <w:rPr>
          <w:iCs/>
          <w:lang w:val="tr-TR"/>
        </w:rPr>
        <w:t>”</w:t>
      </w:r>
      <w:r w:rsidRPr="00D32BED">
        <w:rPr>
          <w:iCs/>
          <w:lang w:val="tr-TR"/>
        </w:rPr>
        <w:t xml:space="preserve">, “ME 517 Advanced </w:t>
      </w:r>
      <w:proofErr w:type="spellStart"/>
      <w:r w:rsidRPr="00D32BED">
        <w:rPr>
          <w:iCs/>
          <w:lang w:val="tr-TR"/>
        </w:rPr>
        <w:t>Fluid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Mechanics</w:t>
      </w:r>
      <w:proofErr w:type="spellEnd"/>
      <w:proofErr w:type="gramStart"/>
      <w:r w:rsidRPr="00D32BED">
        <w:rPr>
          <w:iCs/>
          <w:lang w:val="tr-TR"/>
        </w:rPr>
        <w:t>”,“</w:t>
      </w:r>
      <w:proofErr w:type="gramEnd"/>
      <w:r w:rsidRPr="00D32BED">
        <w:rPr>
          <w:iCs/>
          <w:lang w:val="tr-TR"/>
        </w:rPr>
        <w:t xml:space="preserve">ME 537 Advanced </w:t>
      </w:r>
      <w:proofErr w:type="spellStart"/>
      <w:r w:rsidRPr="00D32BED">
        <w:rPr>
          <w:iCs/>
          <w:lang w:val="tr-TR"/>
        </w:rPr>
        <w:t>Engineering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Thermodynamics</w:t>
      </w:r>
      <w:proofErr w:type="spellEnd"/>
      <w:r w:rsidRPr="00D32BED">
        <w:rPr>
          <w:iCs/>
          <w:lang w:val="tr-TR"/>
        </w:rPr>
        <w:t xml:space="preserve"> I” ve “ME 547 </w:t>
      </w:r>
      <w:proofErr w:type="spellStart"/>
      <w:r w:rsidRPr="00D32BED">
        <w:rPr>
          <w:iCs/>
          <w:lang w:val="tr-TR"/>
        </w:rPr>
        <w:t>Introduction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to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Continuum</w:t>
      </w:r>
      <w:proofErr w:type="spellEnd"/>
      <w:r w:rsidRPr="00D32BED">
        <w:rPr>
          <w:iCs/>
          <w:lang w:val="tr-TR"/>
        </w:rPr>
        <w:t xml:space="preserve"> </w:t>
      </w:r>
      <w:proofErr w:type="spellStart"/>
      <w:r w:rsidRPr="00D32BED">
        <w:rPr>
          <w:iCs/>
          <w:lang w:val="tr-TR"/>
        </w:rPr>
        <w:t>Mechanics</w:t>
      </w:r>
      <w:proofErr w:type="spellEnd"/>
      <w:r w:rsidRPr="00D32BED">
        <w:rPr>
          <w:iCs/>
          <w:lang w:val="tr-TR"/>
        </w:rPr>
        <w:t>”</w:t>
      </w:r>
    </w:p>
    <w:p w14:paraId="479EE643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  <w:r w:rsidRPr="00D32BED">
        <w:rPr>
          <w:iCs/>
          <w:lang w:val="tr-TR"/>
        </w:rPr>
        <w:tab/>
        <w:t xml:space="preserve">Disiplinler arası çalışma yapan öğrenciler, </w:t>
      </w:r>
      <w:r w:rsidRPr="00D32BED">
        <w:rPr>
          <w:b/>
          <w:iCs/>
          <w:lang w:val="tr-TR"/>
        </w:rPr>
        <w:t>tez danışmanının önerisi ve Doktora Yeterlik Komitesinin onayı ile</w:t>
      </w:r>
      <w:r w:rsidRPr="00D32BED">
        <w:rPr>
          <w:iCs/>
          <w:lang w:val="tr-TR"/>
        </w:rPr>
        <w:t xml:space="preserve">, ana çalışma alanından üç ders seçmek yerine, ana çalışma alanından iki ders, diğer çalışma alanından bir ders seçebilir. </w:t>
      </w:r>
    </w:p>
    <w:p w14:paraId="35F46C7C" w14:textId="77777777" w:rsidR="00781EF6" w:rsidRPr="00D32BED" w:rsidRDefault="00737103" w:rsidP="0010219B">
      <w:pPr>
        <w:spacing w:after="120" w:line="360" w:lineRule="auto"/>
        <w:ind w:firstLine="708"/>
        <w:jc w:val="both"/>
        <w:rPr>
          <w:lang w:val="tr-TR"/>
        </w:rPr>
      </w:pPr>
      <w:r w:rsidRPr="00D32BED">
        <w:rPr>
          <w:lang w:val="tr-TR"/>
        </w:rPr>
        <w:t>Yazılı sınavın</w:t>
      </w:r>
      <w:r w:rsidR="00781EF6" w:rsidRPr="00D32BED">
        <w:rPr>
          <w:lang w:val="tr-TR"/>
        </w:rPr>
        <w:t xml:space="preserve"> birinci bölümünden 150 puan üzerinden en az </w:t>
      </w:r>
      <w:r w:rsidR="00781EF6" w:rsidRPr="00D32BED">
        <w:rPr>
          <w:b/>
          <w:i/>
          <w:lang w:val="tr-TR"/>
        </w:rPr>
        <w:t>75</w:t>
      </w:r>
      <w:r w:rsidR="00781EF6" w:rsidRPr="00D32BED">
        <w:rPr>
          <w:lang w:val="tr-TR"/>
        </w:rPr>
        <w:t xml:space="preserve"> puan, ikinci bölümünden 150 puan üzerinden en az </w:t>
      </w:r>
      <w:r w:rsidR="00781EF6" w:rsidRPr="00D32BED">
        <w:rPr>
          <w:b/>
          <w:i/>
          <w:lang w:val="tr-TR"/>
        </w:rPr>
        <w:t>75</w:t>
      </w:r>
      <w:r w:rsidR="00781EF6" w:rsidRPr="00D32BED">
        <w:rPr>
          <w:lang w:val="tr-TR"/>
        </w:rPr>
        <w:t xml:space="preserve"> puan olmak üzere, sınavın iki bölümünden 300 puan üzerinden toplam en az </w:t>
      </w:r>
      <w:r w:rsidR="00781EF6" w:rsidRPr="00D32BED">
        <w:rPr>
          <w:b/>
          <w:i/>
          <w:lang w:val="tr-TR"/>
        </w:rPr>
        <w:t>165</w:t>
      </w:r>
      <w:r w:rsidR="00781EF6" w:rsidRPr="00D32BED">
        <w:rPr>
          <w:lang w:val="tr-TR"/>
        </w:rPr>
        <w:t xml:space="preserve"> puan alan öğrenciler sözlü sınava girmeye hak kazanırlar.</w:t>
      </w:r>
    </w:p>
    <w:p w14:paraId="7CF2AA35" w14:textId="77777777" w:rsidR="00E36F5C" w:rsidRPr="00D32BED" w:rsidRDefault="00E36F5C" w:rsidP="0010219B">
      <w:pPr>
        <w:spacing w:after="120" w:line="360" w:lineRule="auto"/>
        <w:ind w:firstLine="708"/>
        <w:jc w:val="both"/>
        <w:rPr>
          <w:lang w:val="tr-TR"/>
        </w:rPr>
      </w:pPr>
    </w:p>
    <w:p w14:paraId="0478B94E" w14:textId="77777777" w:rsidR="00781EF6" w:rsidRPr="00D32BED" w:rsidRDefault="00781EF6" w:rsidP="0010219B">
      <w:pPr>
        <w:spacing w:after="120" w:line="360" w:lineRule="auto"/>
        <w:ind w:firstLine="709"/>
        <w:jc w:val="both"/>
        <w:rPr>
          <w:b/>
          <w:lang w:val="tr-TR"/>
        </w:rPr>
      </w:pPr>
      <w:r w:rsidRPr="00D32BED">
        <w:rPr>
          <w:b/>
          <w:lang w:val="tr-TR"/>
        </w:rPr>
        <w:t xml:space="preserve">b) Sözlü Sınav </w:t>
      </w:r>
    </w:p>
    <w:p w14:paraId="2669972A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  <w:r w:rsidRPr="00D32BED">
        <w:rPr>
          <w:lang w:val="tr-TR"/>
        </w:rPr>
        <w:tab/>
        <w:t xml:space="preserve">Sözlü sınav, </w:t>
      </w:r>
      <w:r w:rsidR="00D30DDA" w:rsidRPr="00D32BED">
        <w:rPr>
          <w:lang w:val="tr-TR"/>
        </w:rPr>
        <w:t xml:space="preserve">bu sınava </w:t>
      </w:r>
      <w:r w:rsidRPr="00D32BED">
        <w:rPr>
          <w:lang w:val="tr-TR"/>
        </w:rPr>
        <w:t xml:space="preserve">girmeye hak kazanan öğrencilere Doktora Yeterlik Komitesinin belirleyeceği tarih, saat ve yerde verilir. Sözlü sınavda öğrenciye </w:t>
      </w:r>
      <w:r w:rsidR="00D30DDA" w:rsidRPr="00D32BED">
        <w:rPr>
          <w:lang w:val="tr-TR"/>
        </w:rPr>
        <w:t>yazılı sınav</w:t>
      </w:r>
      <w:r w:rsidRPr="00D32BED">
        <w:rPr>
          <w:lang w:val="tr-TR"/>
        </w:rPr>
        <w:t xml:space="preserve">da cevaplayamadığı sorular yeniden sorulabileceği gibi, tez çalışması yapacağı alan ile ilgili sorular ve ilgi alanındaki bilimsel yayınları takip etme ve bilgiye erişme düzeyini belirleyecek sorular da sorulabilir. Sözlü sınav sonunda </w:t>
      </w:r>
      <w:r w:rsidRPr="00D32BED">
        <w:rPr>
          <w:u w:val="single"/>
          <w:lang w:val="tr-TR"/>
        </w:rPr>
        <w:t>her Doktora Yeterlik Sınav Jürisi üyesi</w:t>
      </w:r>
      <w:r w:rsidR="00D30DDA" w:rsidRPr="00D32BED">
        <w:rPr>
          <w:u w:val="single"/>
          <w:lang w:val="tr-TR"/>
        </w:rPr>
        <w:t>,</w:t>
      </w:r>
      <w:r w:rsidRPr="00D32BED">
        <w:rPr>
          <w:u w:val="single"/>
          <w:lang w:val="tr-TR"/>
        </w:rPr>
        <w:t xml:space="preserve"> öğrencinin </w:t>
      </w:r>
      <w:r w:rsidR="00D30DDA" w:rsidRPr="00D32BED">
        <w:rPr>
          <w:u w:val="single"/>
          <w:lang w:val="tr-TR"/>
        </w:rPr>
        <w:t>s</w:t>
      </w:r>
      <w:r w:rsidRPr="00D32BED">
        <w:rPr>
          <w:u w:val="single"/>
          <w:lang w:val="tr-TR"/>
        </w:rPr>
        <w:t>özlü sınavdaki başarısını 20 puan üzerinden değerlendirerek verdiği notu Doktora Yeterlik Sınav Jürisi Başkanına iletir.</w:t>
      </w:r>
      <w:r w:rsidRPr="00D32BED">
        <w:rPr>
          <w:lang w:val="tr-TR"/>
        </w:rPr>
        <w:t xml:space="preserve"> Jüri üyelerinin sözlü sınav sonunda 20 puan üzerinden vermiş olduğu notların toplamı öğrencinin Sözlü Sınav notu olarak belirlenir. </w:t>
      </w:r>
    </w:p>
    <w:p w14:paraId="3BD8F815" w14:textId="77777777" w:rsidR="00781EF6" w:rsidRPr="00D32BED" w:rsidRDefault="00781EF6" w:rsidP="0010219B">
      <w:pPr>
        <w:spacing w:after="120" w:line="360" w:lineRule="auto"/>
        <w:jc w:val="both"/>
        <w:rPr>
          <w:u w:val="single"/>
          <w:lang w:val="tr-TR"/>
        </w:rPr>
      </w:pPr>
      <w:r w:rsidRPr="00D32BED">
        <w:rPr>
          <w:lang w:val="tr-TR"/>
        </w:rPr>
        <w:tab/>
      </w:r>
      <w:r w:rsidRPr="00D32BED">
        <w:rPr>
          <w:u w:val="single"/>
          <w:lang w:val="tr-TR"/>
        </w:rPr>
        <w:t xml:space="preserve">Sözlü sınavdan 100 tam puan üzerinden en az </w:t>
      </w:r>
      <w:r w:rsidRPr="00D32BED">
        <w:rPr>
          <w:b/>
          <w:i/>
          <w:u w:val="single"/>
          <w:lang w:val="tr-TR"/>
        </w:rPr>
        <w:t>50</w:t>
      </w:r>
      <w:r w:rsidRPr="00D32BED">
        <w:rPr>
          <w:u w:val="single"/>
          <w:lang w:val="tr-TR"/>
        </w:rPr>
        <w:t xml:space="preserve"> ve yazılı ve sözlü sınavların toplamında 400 tam puan üzerinden en az </w:t>
      </w:r>
      <w:r w:rsidRPr="00D32BED">
        <w:rPr>
          <w:b/>
          <w:i/>
          <w:u w:val="single"/>
          <w:lang w:val="tr-TR"/>
        </w:rPr>
        <w:t>240</w:t>
      </w:r>
      <w:r w:rsidRPr="00D32BED">
        <w:rPr>
          <w:u w:val="single"/>
          <w:lang w:val="tr-TR"/>
        </w:rPr>
        <w:t xml:space="preserve"> puan alan öğrenci; jüri değerlendirmesine alınmaya hak kazanır.  </w:t>
      </w:r>
    </w:p>
    <w:p w14:paraId="0DB1FE98" w14:textId="77777777" w:rsidR="00781EF6" w:rsidRPr="00D32BED" w:rsidRDefault="00781EF6" w:rsidP="0010219B">
      <w:pPr>
        <w:spacing w:after="120" w:line="360" w:lineRule="auto"/>
        <w:jc w:val="both"/>
        <w:rPr>
          <w:lang w:val="tr-TR"/>
        </w:rPr>
      </w:pPr>
    </w:p>
    <w:p w14:paraId="0080D335" w14:textId="77777777" w:rsidR="00781EF6" w:rsidRPr="00D32BED" w:rsidRDefault="00E36F5C" w:rsidP="00E36F5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lang w:val="tr-TR"/>
        </w:rPr>
      </w:pPr>
      <w:r w:rsidRPr="00D32BED">
        <w:rPr>
          <w:b/>
          <w:lang w:val="tr-TR"/>
        </w:rPr>
        <w:t>Doktora Yeterlik Jürisi Değerlendirmesi</w:t>
      </w:r>
    </w:p>
    <w:p w14:paraId="69333E64" w14:textId="77777777" w:rsidR="00781EF6" w:rsidRPr="00D32BED" w:rsidRDefault="00781EF6" w:rsidP="0010219B">
      <w:pPr>
        <w:spacing w:after="120" w:line="360" w:lineRule="auto"/>
        <w:ind w:firstLine="708"/>
        <w:jc w:val="both"/>
      </w:pPr>
      <w:r w:rsidRPr="00D32BED">
        <w:rPr>
          <w:lang w:val="tr-TR"/>
        </w:rPr>
        <w:t xml:space="preserve">Doktora Yeterlik Sınavı Jürisi, jüri değerlendirmesine alınmaya hak kazanan öğrencinin başarılı veya başarısız olduğuna salt çoğunlukla karar verir. </w:t>
      </w:r>
    </w:p>
    <w:p w14:paraId="6DED6DA0" w14:textId="77777777" w:rsidR="00781EF6" w:rsidRPr="00D32BED" w:rsidRDefault="00781EF6" w:rsidP="0010219B">
      <w:pPr>
        <w:spacing w:after="120"/>
        <w:rPr>
          <w:rFonts w:ascii="Arial" w:hAnsi="Arial" w:cs="Arial"/>
          <w:b/>
          <w:bCs/>
          <w:sz w:val="22"/>
          <w:szCs w:val="22"/>
          <w:lang w:val="tr-TR"/>
        </w:rPr>
      </w:pPr>
    </w:p>
    <w:sectPr w:rsidR="00781EF6" w:rsidRPr="00D32BED" w:rsidSect="006B09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EB7D" w14:textId="77777777" w:rsidR="00B46A8E" w:rsidRDefault="00B46A8E">
      <w:r>
        <w:separator/>
      </w:r>
    </w:p>
  </w:endnote>
  <w:endnote w:type="continuationSeparator" w:id="0">
    <w:p w14:paraId="70977DCE" w14:textId="77777777" w:rsidR="00B46A8E" w:rsidRDefault="00B4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4BF1" w14:textId="77777777" w:rsidR="00781EF6" w:rsidRPr="0010219B" w:rsidRDefault="00781EF6" w:rsidP="0010219B">
    <w:pPr>
      <w:pStyle w:val="Footer"/>
      <w:jc w:val="center"/>
      <w:rPr>
        <w:b/>
        <w:i/>
        <w:sz w:val="20"/>
        <w:szCs w:val="20"/>
      </w:rPr>
    </w:pPr>
    <w:r w:rsidRPr="0010219B">
      <w:rPr>
        <w:rStyle w:val="PageNumber"/>
        <w:b/>
        <w:i/>
        <w:sz w:val="20"/>
        <w:szCs w:val="20"/>
      </w:rPr>
      <w:fldChar w:fldCharType="begin"/>
    </w:r>
    <w:r w:rsidRPr="0010219B">
      <w:rPr>
        <w:rStyle w:val="PageNumber"/>
        <w:b/>
        <w:i/>
        <w:sz w:val="20"/>
        <w:szCs w:val="20"/>
      </w:rPr>
      <w:instrText xml:space="preserve"> PAGE </w:instrText>
    </w:r>
    <w:r w:rsidRPr="0010219B">
      <w:rPr>
        <w:rStyle w:val="PageNumber"/>
        <w:b/>
        <w:i/>
        <w:sz w:val="20"/>
        <w:szCs w:val="20"/>
      </w:rPr>
      <w:fldChar w:fldCharType="separate"/>
    </w:r>
    <w:r w:rsidR="00D32BED">
      <w:rPr>
        <w:rStyle w:val="PageNumber"/>
        <w:b/>
        <w:i/>
        <w:noProof/>
        <w:sz w:val="20"/>
        <w:szCs w:val="20"/>
      </w:rPr>
      <w:t>2</w:t>
    </w:r>
    <w:r w:rsidRPr="0010219B">
      <w:rPr>
        <w:rStyle w:val="PageNumber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11A3" w14:textId="77777777" w:rsidR="00B46A8E" w:rsidRDefault="00B46A8E">
      <w:r>
        <w:separator/>
      </w:r>
    </w:p>
  </w:footnote>
  <w:footnote w:type="continuationSeparator" w:id="0">
    <w:p w14:paraId="088C3A37" w14:textId="77777777" w:rsidR="00B46A8E" w:rsidRDefault="00B4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DA8"/>
    <w:multiLevelType w:val="hybridMultilevel"/>
    <w:tmpl w:val="FBB85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73CDF"/>
    <w:multiLevelType w:val="hybridMultilevel"/>
    <w:tmpl w:val="B106CD14"/>
    <w:lvl w:ilvl="0" w:tplc="449693F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0E86D96"/>
    <w:multiLevelType w:val="hybridMultilevel"/>
    <w:tmpl w:val="423E96D2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DE96BF1"/>
    <w:multiLevelType w:val="hybridMultilevel"/>
    <w:tmpl w:val="A6C0B4FC"/>
    <w:lvl w:ilvl="0" w:tplc="F37EE87E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D84170"/>
    <w:multiLevelType w:val="hybridMultilevel"/>
    <w:tmpl w:val="2A321236"/>
    <w:lvl w:ilvl="0" w:tplc="3A5C61C8">
      <w:start w:val="3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17FC3"/>
    <w:multiLevelType w:val="hybridMultilevel"/>
    <w:tmpl w:val="638A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tTAwsDAzMrawMDBV0lEKTi0uzszPAykwrAUAT345vCwAAAA="/>
  </w:docVars>
  <w:rsids>
    <w:rsidRoot w:val="00E5296D"/>
    <w:rsid w:val="00044801"/>
    <w:rsid w:val="00065F6B"/>
    <w:rsid w:val="0010219B"/>
    <w:rsid w:val="00134D91"/>
    <w:rsid w:val="001604C6"/>
    <w:rsid w:val="00175EAA"/>
    <w:rsid w:val="001D761C"/>
    <w:rsid w:val="001F1081"/>
    <w:rsid w:val="002139CA"/>
    <w:rsid w:val="0022773C"/>
    <w:rsid w:val="002648C7"/>
    <w:rsid w:val="002B5A84"/>
    <w:rsid w:val="002C29CC"/>
    <w:rsid w:val="003F553B"/>
    <w:rsid w:val="003F59EC"/>
    <w:rsid w:val="004272C0"/>
    <w:rsid w:val="004301B2"/>
    <w:rsid w:val="004676D3"/>
    <w:rsid w:val="004729A3"/>
    <w:rsid w:val="0049092F"/>
    <w:rsid w:val="005077AD"/>
    <w:rsid w:val="00517C3B"/>
    <w:rsid w:val="00603C7D"/>
    <w:rsid w:val="00605D08"/>
    <w:rsid w:val="006205F6"/>
    <w:rsid w:val="0063775E"/>
    <w:rsid w:val="006B09AE"/>
    <w:rsid w:val="006D6FF3"/>
    <w:rsid w:val="007312C5"/>
    <w:rsid w:val="00737103"/>
    <w:rsid w:val="007604C0"/>
    <w:rsid w:val="00781EF6"/>
    <w:rsid w:val="00786E6C"/>
    <w:rsid w:val="00792B96"/>
    <w:rsid w:val="007A369A"/>
    <w:rsid w:val="007A41A6"/>
    <w:rsid w:val="008073F3"/>
    <w:rsid w:val="00986041"/>
    <w:rsid w:val="00A25B2F"/>
    <w:rsid w:val="00A35CDA"/>
    <w:rsid w:val="00A67D27"/>
    <w:rsid w:val="00B02EA8"/>
    <w:rsid w:val="00B26E50"/>
    <w:rsid w:val="00B46A8E"/>
    <w:rsid w:val="00B921CD"/>
    <w:rsid w:val="00B966E3"/>
    <w:rsid w:val="00C1770A"/>
    <w:rsid w:val="00C76ED3"/>
    <w:rsid w:val="00D216DA"/>
    <w:rsid w:val="00D30DDA"/>
    <w:rsid w:val="00D32BED"/>
    <w:rsid w:val="00D461A4"/>
    <w:rsid w:val="00E11945"/>
    <w:rsid w:val="00E32CD8"/>
    <w:rsid w:val="00E36F5C"/>
    <w:rsid w:val="00E5296D"/>
    <w:rsid w:val="00E62963"/>
    <w:rsid w:val="00E63E65"/>
    <w:rsid w:val="00E80C98"/>
    <w:rsid w:val="00E8168E"/>
    <w:rsid w:val="00E9725A"/>
    <w:rsid w:val="00F4399B"/>
    <w:rsid w:val="00F477B0"/>
    <w:rsid w:val="00F47A12"/>
    <w:rsid w:val="00F777A7"/>
    <w:rsid w:val="00F81924"/>
    <w:rsid w:val="00F84625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2DDDC"/>
  <w15:docId w15:val="{D598DA54-92C6-459C-AD86-D3484400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96D"/>
    <w:pPr>
      <w:keepNext/>
      <w:autoSpaceDE w:val="0"/>
      <w:autoSpaceDN w:val="0"/>
      <w:outlineLvl w:val="0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29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2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21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342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21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3420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1021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557956E17E148A8DC002D7006D069" ma:contentTypeVersion="9" ma:contentTypeDescription="Create a new document." ma:contentTypeScope="" ma:versionID="5a91d3824e458cfb27b38846a7a1890d">
  <xsd:schema xmlns:xsd="http://www.w3.org/2001/XMLSchema" xmlns:xs="http://www.w3.org/2001/XMLSchema" xmlns:p="http://schemas.microsoft.com/office/2006/metadata/properties" xmlns:ns3="a2a2aa86-1dc4-4df9-a07b-e3fd36ece00b" targetNamespace="http://schemas.microsoft.com/office/2006/metadata/properties" ma:root="true" ma:fieldsID="bd93c86bdd9b10dbd809523d578eea9a" ns3:_="">
    <xsd:import namespace="a2a2aa86-1dc4-4df9-a07b-e3fd36ece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aa86-1dc4-4df9-a07b-e3fd36ec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17CCE-26FE-4140-82D7-5B379F45E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2D974-6C0F-4F67-ADC5-00ABB0C8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1831D-EDD5-49FD-BA62-E811914B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2aa86-1dc4-4df9-a07b-e3fd36ec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ODTÜ MAKİNA MÜHENDİSLİĞİ BÖLÜMÜ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 MAKİNA MÜHENDİSLİĞİ BÖLÜMÜ</dc:title>
  <dc:creator>x</dc:creator>
  <cp:lastModifiedBy>suat kadioglu</cp:lastModifiedBy>
  <cp:revision>2</cp:revision>
  <dcterms:created xsi:type="dcterms:W3CDTF">2019-12-12T08:52:00Z</dcterms:created>
  <dcterms:modified xsi:type="dcterms:W3CDTF">2019-12-12T08:52:00Z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0x01010014D557956E17E148A8DC002D7006D069</vt:lpwstr>
  </property>
</Properties>
</file>